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3E6036" w:rsidRDefault="00086B79" w:rsidP="00104074">
      <w:pPr>
        <w:spacing w:line="264" w:lineRule="auto"/>
        <w:ind w:left="360"/>
        <w:rPr>
          <w:rFonts w:ascii="Arial Narrow" w:hAnsi="Arial Narrow"/>
          <w:sz w:val="21"/>
          <w:szCs w:val="21"/>
        </w:rPr>
      </w:pPr>
      <w:r w:rsidRPr="003E6036">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3E6036">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 xml:space="preserve">Dostawa </w:t>
            </w:r>
            <w:r w:rsidR="003E6036">
              <w:rPr>
                <w:rFonts w:ascii="Times New Roman" w:hAnsi="Times New Roman"/>
                <w:b/>
                <w:bCs/>
                <w:sz w:val="20"/>
              </w:rPr>
              <w:t>nadawy</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3E6036">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max. </w:t>
            </w:r>
            <w:r w:rsidR="003E6036">
              <w:rPr>
                <w:rFonts w:ascii="Times New Roman" w:hAnsi="Times New Roman"/>
                <w:b/>
                <w:bCs/>
                <w:sz w:val="20"/>
              </w:rPr>
              <w:t>5</w:t>
            </w:r>
            <w:r w:rsidRPr="0078457E">
              <w:rPr>
                <w:rFonts w:ascii="Times New Roman" w:hAnsi="Times New Roman"/>
                <w:b/>
                <w:bCs/>
                <w:sz w:val="20"/>
              </w:rPr>
              <w:t>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3E6036" w:rsidP="0078457E">
            <w:pPr>
              <w:widowControl/>
              <w:overflowPunct/>
              <w:autoSpaceDE/>
              <w:autoSpaceDN/>
              <w:adjustRightInd/>
              <w:jc w:val="left"/>
              <w:textAlignment w:val="auto"/>
              <w:rPr>
                <w:rFonts w:ascii="Times New Roman" w:hAnsi="Times New Roman"/>
                <w:b/>
                <w:bCs/>
                <w:sz w:val="20"/>
              </w:rPr>
            </w:pPr>
            <w:r>
              <w:rPr>
                <w:rFonts w:ascii="Times New Roman" w:hAnsi="Times New Roman"/>
                <w:b/>
                <w:bCs/>
                <w:sz w:val="20"/>
              </w:rPr>
              <w:t>Przygotowanie do uruchomienia alternatywnego zasilania komór fermentacyjnych</w:t>
            </w:r>
          </w:p>
        </w:tc>
        <w:tc>
          <w:tcPr>
            <w:tcW w:w="1446" w:type="dxa"/>
            <w:tcBorders>
              <w:top w:val="nil"/>
              <w:left w:val="nil"/>
              <w:bottom w:val="nil"/>
              <w:right w:val="nil"/>
            </w:tcBorders>
            <w:shd w:val="clear" w:color="auto" w:fill="auto"/>
            <w:vAlign w:val="center"/>
            <w:hideMark/>
          </w:tcPr>
          <w:p w:rsidR="0078457E" w:rsidRPr="0078457E" w:rsidRDefault="00474850" w:rsidP="003E6036">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w:t>
            </w:r>
            <w:r w:rsidR="0078457E" w:rsidRPr="0078457E">
              <w:rPr>
                <w:rFonts w:ascii="Times New Roman" w:hAnsi="Times New Roman"/>
                <w:b/>
                <w:bCs/>
                <w:sz w:val="20"/>
              </w:rPr>
              <w:t xml:space="preserve">. </w:t>
            </w:r>
            <w:r w:rsidR="003E6036">
              <w:rPr>
                <w:rFonts w:ascii="Times New Roman" w:hAnsi="Times New Roman"/>
                <w:b/>
                <w:bCs/>
                <w:sz w:val="20"/>
              </w:rPr>
              <w:t>2</w:t>
            </w:r>
            <w:r w:rsidR="0078457E" w:rsidRPr="0078457E">
              <w:rPr>
                <w:rFonts w:ascii="Times New Roman" w:hAnsi="Times New Roman"/>
                <w:b/>
                <w:bCs/>
                <w:sz w:val="20"/>
              </w:rPr>
              <w:t>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0C272D">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 xml:space="preserve">Uruchomienie </w:t>
            </w:r>
            <w:r w:rsidR="000C272D">
              <w:rPr>
                <w:rFonts w:ascii="Times New Roman" w:hAnsi="Times New Roman"/>
                <w:b/>
                <w:bCs/>
                <w:sz w:val="20"/>
              </w:rPr>
              <w:t xml:space="preserve">ciągu </w:t>
            </w:r>
            <w:r w:rsidR="003E6036">
              <w:rPr>
                <w:rFonts w:ascii="Times New Roman" w:hAnsi="Times New Roman"/>
                <w:b/>
                <w:bCs/>
                <w:sz w:val="20"/>
              </w:rPr>
              <w:t>alternatywnego zasilania komór fermentacyjnych</w:t>
            </w:r>
            <w:r w:rsidRPr="0078457E">
              <w:rPr>
                <w:rFonts w:ascii="Times New Roman" w:hAnsi="Times New Roman"/>
                <w:b/>
                <w:bCs/>
                <w:sz w:val="20"/>
              </w:rPr>
              <w:t>,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bookmarkStart w:id="0" w:name="_GoBack"/>
      <w:bookmarkEnd w:id="0"/>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9A" w:rsidRDefault="00EE479A">
      <w:r>
        <w:separator/>
      </w:r>
    </w:p>
  </w:endnote>
  <w:endnote w:type="continuationSeparator" w:id="0">
    <w:p w:rsidR="00EE479A" w:rsidRDefault="00EE479A">
      <w:r>
        <w:continuationSeparator/>
      </w:r>
    </w:p>
  </w:endnote>
  <w:endnote w:type="continuationNotice" w:id="1">
    <w:p w:rsidR="00EE479A" w:rsidRDefault="00EE4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5F" w:rsidRDefault="00E3695F" w:rsidP="00E3695F">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6a</w:t>
    </w:r>
    <w:r w:rsidRPr="001420C0">
      <w:rPr>
        <w:rFonts w:ascii="Tahoma" w:hAnsi="Tahoma" w:cs="Tahoma"/>
        <w:sz w:val="16"/>
        <w:szCs w:val="14"/>
      </w:rPr>
      <w:t xml:space="preserve">: </w:t>
    </w:r>
    <w:r>
      <w:rPr>
        <w:rFonts w:ascii="Tahoma" w:hAnsi="Tahoma" w:cs="Tahoma"/>
        <w:sz w:val="16"/>
        <w:szCs w:val="14"/>
      </w:rPr>
      <w:t>„Przystosowanie reaktora do przetwarzania selektywnie zbieranych bioodpadów;</w:t>
    </w:r>
  </w:p>
  <w:p w:rsidR="00E3695F" w:rsidRDefault="00E3695F" w:rsidP="00E3695F">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zewnętrznej nadawy” </w:t>
    </w:r>
  </w:p>
  <w:p w:rsidR="00E3695F" w:rsidRDefault="00E3695F" w:rsidP="00E3695F">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E3695F">
    <w:pPr>
      <w:ind w:left="7788" w:right="-6" w:firstLine="708"/>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E3695F">
      <w:rPr>
        <w:rStyle w:val="Numerstrony"/>
        <w:rFonts w:cs="Arial"/>
        <w:noProof/>
        <w:sz w:val="20"/>
      </w:rPr>
      <w:t>1</w:t>
    </w:r>
    <w:r w:rsidR="00943CB0"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9A" w:rsidRDefault="00EE479A">
      <w:r>
        <w:separator/>
      </w:r>
    </w:p>
  </w:footnote>
  <w:footnote w:type="continuationSeparator" w:id="0">
    <w:p w:rsidR="00EE479A" w:rsidRDefault="00EE479A">
      <w:r>
        <w:continuationSeparator/>
      </w:r>
    </w:p>
  </w:footnote>
  <w:footnote w:type="continuationNotice" w:id="1">
    <w:p w:rsidR="00EE479A" w:rsidRDefault="00EE47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3D8E"/>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272D"/>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41F"/>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0BBA"/>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E6036"/>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4850"/>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3695F"/>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479A"/>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0D25-F3E1-454C-92D4-99BB62CE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1310</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2018-01-24T13:11:00Z</cp:lastPrinted>
  <dcterms:created xsi:type="dcterms:W3CDTF">2018-01-24T13:41:00Z</dcterms:created>
  <dcterms:modified xsi:type="dcterms:W3CDTF">2018-02-08T10:35:00Z</dcterms:modified>
</cp:coreProperties>
</file>